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419" w:leader="none"/>
        </w:tabs>
        <w:suppressAutoHyphens w:val="true"/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 xml:space="preserve">Edital de Credenciamento de Examinadores </w:t>
      </w:r>
      <w:r>
        <w:rPr>
          <w:rFonts w:cs="Calibri"/>
          <w:b/>
          <w:sz w:val="24"/>
          <w:szCs w:val="24"/>
          <w:lang w:eastAsia="ar-SA"/>
        </w:rPr>
        <w:t>07</w:t>
      </w:r>
      <w:r>
        <w:rPr>
          <w:rFonts w:cs="Calibri"/>
          <w:b/>
          <w:sz w:val="24"/>
          <w:szCs w:val="24"/>
          <w:lang w:eastAsia="ar-SA"/>
        </w:rPr>
        <w:t>/2015</w:t>
      </w:r>
      <w:r/>
    </w:p>
    <w:p>
      <w:pPr>
        <w:pStyle w:val="Normal"/>
        <w:spacing w:lineRule="auto" w:line="360" w:before="360" w:after="120"/>
        <w:ind w:left="3544" w:hanging="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Edital de Credenciamento de examinadores de trânsito, conforme arts. 148 e 152 do CTB, art. 12 da Resolução nº 168/2004 do CONTRAN, e art. 24 da Resolução nº 358/2010 do CONTRAN para prestação de serviços junto ao DETRAN-SP.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  <w:r/>
    </w:p>
    <w:p>
      <w:pPr>
        <w:pStyle w:val="Normal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Para o conhecimento da íntegra do edital, e preenchimento do formulário de inscrição, os profissionais interessados deverão acessar o Portal do DETRAN-SP (</w:t>
      </w:r>
      <w:hyperlink r:id="rId2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), no período de 01 de outubro de 2015 a 30 de outubro de 2015.</w:t>
      </w:r>
      <w:r/>
    </w:p>
    <w:p>
      <w:pPr>
        <w:pStyle w:val="Normal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Objeto</w:t>
      </w:r>
      <w:r/>
    </w:p>
    <w:p>
      <w:pPr>
        <w:pStyle w:val="ListParagrap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Constitui objeto do presente edital o credenciamento de examinadores de trânsito para Campinas.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Poderão se inscrever os cidadãos que atendam as exigências deste edital, inclusive os servidores públicos estaduais, municipais e federais da administração pública direta e indireta, ativos ou inativos, exceto os servidores públicos em exercício no Departamento Estadual de Trânsito de São Paulo-DETRAN-SP;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arts. 65 a 75 da Lei n. 10.261/68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</w:pPr>
      <w:r>
        <w:rPr>
          <w:rFonts w:cs="Calibri"/>
          <w:sz w:val="24"/>
          <w:szCs w:val="24"/>
        </w:rPr>
        <w:t>Os credenciados serão convocados para prestar serviços em Campinas 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convocação ocorrerá conforme a necessidade do DETRAN-SP e será efetuada de forma progressiva, respeitado o limite estabelecido e a ordem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Condições de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brasileiro, nos termos do artigo 12 da Constituição Federal, e maior de 21 (vinte e um) anos de idade, ou estrangeiro com visto permanente no país;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curso superior completo;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Diretoria de Educação para o Trânsito do DETRAN-SP São Paulo, ou por esta validado.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Possuir Carteira Nacional de Habilitação – CNH há no mínimo 2 (dois) anos e registrada atualmente no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 publicação do presente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  <w:r/>
    </w:p>
    <w:p>
      <w:pPr>
        <w:pStyle w:val="ListParagraph"/>
        <w:numPr>
          <w:ilvl w:val="0"/>
          <w:numId w:val="1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Ser habilitado nas categorias “A” e em alguma outra de 4 (quatro) ou mais rodas, conforme art. 143 do CTB - Código de Trânsito Brasileiro.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1068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Inscrição e documentos para Credenciamento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3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deverá ser impresso e instruído com: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CNH;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certificado de conclusão do curso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da credencial expedida pelo DETRAN-SP de examinador de trânsito;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Comprovante de conta corrente junto a uma Agência do Banco do Brasil, de titularidade do credenciado, como pessoa física;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de que não é servidor público em exercício no DETRAN-SP, conforme modelo Anexo IV;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Examinadores de Trânsito do DETRAN-SP, das Resoluções CONTRAN e das Portarias DETRAN-SP, conforme modelo do Anexo V;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Atestado de Antecedentes Criminais, emitido pela Secretaria de Segurança Pública do Estado de São Paulo;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Certidão negativa da vara de execução criminal de onde reside e da vara de execução criminal do município onde deverá ser protocolada a inscrição, conforme subitem 3.3;</w:t>
      </w:r>
      <w:r/>
    </w:p>
    <w:p>
      <w:pPr>
        <w:pStyle w:val="ListParagraph"/>
        <w:numPr>
          <w:ilvl w:val="0"/>
          <w:numId w:val="4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Exame médico, conforme modelo Anexo VIII.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3.2.1</w:t>
        <w:tab/>
        <w:t>As autenticações referidas no item 3.2 devem ser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obtidas junto a tabeliães de nota, na forma do Art. 7º, inciso V, da Lei 8935/94;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hd w:fill="FFFF00" w:val="clear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e os respectivos documentos deverão ser entregues, PESSOALMENTE ou via CORREIOS COM AVISO DE RECEBIMENTO, na Superintendência Regional Campinas I na Avenida Presidente Getúlio Vargas, n</w:t>
      </w:r>
      <w:r>
        <w:rPr>
          <w:rFonts w:cs="Calibri"/>
          <w:sz w:val="24"/>
          <w:szCs w:val="24"/>
          <w:vertAlign w:val="superscript"/>
        </w:rPr>
        <w:t>o</w:t>
      </w:r>
      <w:r>
        <w:rPr>
          <w:rFonts w:cs="Calibri"/>
          <w:position w:val="0"/>
          <w:sz w:val="24"/>
          <w:sz w:val="24"/>
          <w:szCs w:val="24"/>
          <w:vertAlign w:val="baseline"/>
        </w:rPr>
        <w:t xml:space="preserve"> 409, CEP 13140-315, Nova Paulínia – Paulínia/SP.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classificação dos inscritos no certame será feita segundo os seguintes critérios: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1º) Categoria habilitada, na seguinte ordem: AE, AD, AC, AB;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3º) Data de nascimento mais antiga;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resultado da análise será publicado no Diário Oficial do Estado de São Paulo (DOE) e no Portal do DETRAN-SP os interessados cuja documentação for rejeitada poderão recorrer da decisão no prazo de 3 (três) dias úteis contados da publicação, apresentando defesa no mesmo local da inscrição.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/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Das convocações para assinatura do Termo de Compromisso para a realização dos exames.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709" w:hanging="709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Somente após a assinatura do termo de compromisso, os classificados serão considerados aptos para a realização de exames práticos.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observará: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426" w:hanging="426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comparecer à banca para a qual foi convocado, deverá, com antecedência de 2 (dois) dias úteis contados da data da convocação, apresentar justificativa eletrônica ao DETRAN-SP;</w:t>
      </w:r>
      <w:r/>
    </w:p>
    <w:p>
      <w:pPr>
        <w:pStyle w:val="ListParagraph"/>
        <w:numPr>
          <w:ilvl w:val="3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Caso haja necessidade, o DETRAN-SP poderá solicitar comprovantes das justificativas.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Credenciado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que não puder participar de banca de exame por até 30 (trinta) dias, em um período de 12 meses, deverá informar previamente, com antecedência de 7 (sete) dias, ao DETRAN-SP qual o período em que se ausentará;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exercer nenhum tipo de atividade junto ao Centro de Formação de Condutores - CFC durante todo o período de validade do credenciamento;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Respeitar toda a legislação e orientação do DETRAN-SP que regulamentam sua atividade de examinador;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Obrigações do DETRAN-SP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Superintendência e Diretoria de Habilitação;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examinadora estiver vinculada;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Manter os credenciados informados sobre possíveis atualizações de procedimentos.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Valor e forma de pagamento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R$ 30,00 (trinta reais) para a categoria D; </w:t>
      </w:r>
      <w:r/>
    </w:p>
    <w:p>
      <w:pPr>
        <w:pStyle w:val="ListParagraph"/>
        <w:numPr>
          <w:ilvl w:val="0"/>
          <w:numId w:val="2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O pagamento observará o seguinte fluxo: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A Unidade referenciada no item 8.2.1. deverá atestar os serviços realizados em 07 (sete) dias e encaminhar para o setor financeiro para pagamento;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Prazos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Penalidades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Advertência por escrito;</w:t>
      </w:r>
      <w:r/>
    </w:p>
    <w:p>
      <w:pPr>
        <w:pStyle w:val="ListParagraph"/>
        <w:numPr>
          <w:ilvl w:val="0"/>
          <w:numId w:val="3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ind w:left="927" w:hanging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Suspensão;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567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b) Descredenciamento. </w:t>
      </w:r>
      <w:r/>
    </w:p>
    <w:p>
      <w:pPr>
        <w:pStyle w:val="ListParagraph"/>
        <w:numPr>
          <w:ilvl w:val="2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Durante a apuração das infrações mencionadas neste item, o DETRAN-SP poderá suspender, preventivamente, o credenciado, pelo prazo de até 30 (trinta) dias, prorrogáveis.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administrativos citados nos itens anteriores.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0" w:hanging="0"/>
        <w:jc w:val="both"/>
        <w:rPr>
          <w:sz w:val="24"/>
          <w:sz w:val="24"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sz w:val="24"/>
          <w:szCs w:val="24"/>
        </w:rPr>
      </w:r>
      <w:r/>
    </w:p>
    <w:p>
      <w:pPr>
        <w:pStyle w:val="ListParagraph"/>
        <w:numPr>
          <w:ilvl w:val="0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/>
          <w:sz w:val="24"/>
          <w:szCs w:val="24"/>
        </w:rPr>
        <w:t>Disposições gerais</w:t>
      </w:r>
      <w:r/>
    </w:p>
    <w:p>
      <w:pPr>
        <w:pStyle w:val="ListParagraph"/>
        <w:shd w:val="clear" w:color="auto" w:themeColor="" w:themeTint="0" w:themeShade="0" w:fill="FFFFFF" w:themeFill="" w:themeFillTint="0" w:themeFillShade="0"/>
        <w:spacing w:lineRule="auto" w:line="360" w:before="0" w:after="120"/>
        <w:ind w:left="360" w:hanging="0"/>
        <w:jc w:val="both"/>
        <w:rPr>
          <w:sz w:val="24"/>
          <w:b/>
          <w:sz w:val="24"/>
          <w:b/>
          <w:szCs w:val="24"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/>
          <w:sz w:val="24"/>
          <w:szCs w:val="24"/>
        </w:rPr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Os profissionais credenciados deverão manter atualizados seus dados cadastrais;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Para verificação de sua situação cadastral junto ao CADIN Estadual e a eventual ocorrência de aplicação de sanções administrativas, poderá o candidato consultar o site http://www.fazenda.sp.gov.br/ e http://www.dividaativa.pge.sp.gov.br/;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O DETRAN-SP poderá adiar ou revogar o presente procedimento de credenciamento, a qualquer momento, sem que caiba aos participantes qualquer direito a indenização.</w:t>
      </w:r>
      <w:r/>
    </w:p>
    <w:p>
      <w:pPr>
        <w:pStyle w:val="ListParagraph"/>
        <w:numPr>
          <w:ilvl w:val="1"/>
          <w:numId w:val="5"/>
        </w:numPr>
        <w:shd w:val="clear" w:color="auto" w:themeColor="" w:themeTint="0" w:themeShade="0" w:fill="FFFFFF" w:themeFill="" w:themeFillTint="0" w:themeFillShade="0"/>
        <w:spacing w:lineRule="auto" w:line="360" w:before="0" w:after="12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Integram o presente edital: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 - Manual para os Examinadores de Trânsito do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 - Legislação pertinente;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IV - Modelo de declaração de que não é servidor público lotado no DETRAN-SP;</w:t>
      </w:r>
      <w:r/>
    </w:p>
    <w:p>
      <w:pPr>
        <w:pStyle w:val="Normal"/>
        <w:spacing w:before="0" w:after="0"/>
        <w:ind w:left="360" w:hanging="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 - Remuneração;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 - Termo de Compromisso;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VIII - Atestado médico;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IX - Fichas de Exames Práticos;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 - Modelo de relatório de exames realizados;</w:t>
      </w:r>
      <w:r/>
    </w:p>
    <w:p>
      <w:pPr>
        <w:pStyle w:val="Normal"/>
        <w:spacing w:before="0" w:after="0"/>
        <w:ind w:firstLine="360"/>
        <w:jc w:val="both"/>
        <w:rPr>
          <w:sz w:val="24"/>
          <w:sz w:val="24"/>
          <w:szCs w:val="24"/>
          <w:rFonts w:cs="Calibri"/>
        </w:rPr>
      </w:pPr>
      <w:r>
        <w:rPr>
          <w:rFonts w:cs="Calibri"/>
          <w:sz w:val="24"/>
          <w:szCs w:val="24"/>
        </w:rPr>
        <w:t>Anexo XI - Modelo de recibo de pagamento autônomo.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Calibri"/>
          <w:bCs/>
          <w:sz w:val="24"/>
          <w:szCs w:val="24"/>
        </w:rPr>
        <w:t xml:space="preserve">DETRAN-SP, </w:t>
      </w:r>
      <w:r>
        <w:rPr>
          <w:rFonts w:cs="Calibri"/>
          <w:bCs/>
          <w:sz w:val="24"/>
          <w:szCs w:val="24"/>
        </w:rPr>
        <w:t>01 de outubro de 2015.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bCs/>
          <w:rFonts w:ascii="Calibri" w:hAnsi="Calibri" w:eastAsia="Times New Roman" w:cs="Calibri"/>
          <w:color w:val="00000A"/>
          <w:lang w:val="pt-BR" w:eastAsia="pt-BR" w:bidi="ar-SA"/>
        </w:rPr>
      </w:pPr>
      <w:r>
        <w:rPr>
          <w:rFonts w:eastAsia="Times New Roman" w:cs="Calibri"/>
          <w:bCs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bCs/>
          <w:rFonts w:cs="Calibri"/>
        </w:rPr>
      </w:pPr>
      <w:r>
        <w:rPr>
          <w:rFonts w:cs="Calibri"/>
          <w:bCs/>
          <w:sz w:val="24"/>
          <w:szCs w:val="24"/>
        </w:rPr>
        <w:t>_____________________________________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cs="Calibri"/>
        </w:rPr>
      </w:pPr>
      <w:r>
        <w:rPr>
          <w:rFonts w:cs="Calibri"/>
          <w:b/>
          <w:bCs/>
          <w:sz w:val="24"/>
          <w:szCs w:val="24"/>
        </w:rPr>
        <w:t>DANIEL ANNENBERG</w:t>
      </w:r>
      <w:r/>
    </w:p>
    <w:p>
      <w:pPr>
        <w:pStyle w:val="Normal"/>
        <w:spacing w:before="0" w:after="0"/>
        <w:jc w:val="center"/>
        <w:rPr>
          <w:sz w:val="24"/>
          <w:b/>
          <w:sz w:val="24"/>
          <w:b/>
          <w:szCs w:val="24"/>
          <w:rFonts w:cs="Calibri"/>
        </w:rPr>
      </w:pPr>
      <w:r>
        <w:rPr>
          <w:rFonts w:cs="Calibri"/>
          <w:bCs/>
          <w:sz w:val="24"/>
          <w:szCs w:val="24"/>
        </w:rPr>
        <w:t>Diretor Presidente</w:t>
      </w:r>
      <w:r/>
    </w:p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Times New Roman" w:cs="Times New Roman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701" w:right="1701" w:header="709" w:top="1435" w:footer="0" w:bottom="17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/>
        <w:sz w:val="20"/>
        <w:szCs w:val="20"/>
        <w:lang w:val="pt-BR"/>
      </w:rPr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6"/>
        <w:b/>
        <w:sz w:val="26"/>
        <w:b/>
        <w:szCs w:val="26"/>
        <w:rFonts w:ascii="Arial" w:hAnsi="Arial" w:cs="Arial"/>
      </w:rPr>
    </w:pPr>
    <w:r>
      <w:rPr>
        <w:rFonts w:cs="Arial" w:ascii="Arial" w:hAnsi="Arial"/>
        <w:b/>
        <w:sz w:val="26"/>
        <w:szCs w:val="26"/>
        <w:lang w:val="pt-BR"/>
      </w:rPr>
      <w:tab/>
    </w:r>
    <w:r>
      <w:rPr>
        <w:rFonts w:cs="Arial" w:ascii="Arial" w:hAnsi="Arial"/>
        <w:b/>
        <w:sz w:val="26"/>
        <w:szCs w:val="26"/>
      </w:rPr>
      <w:t>GOVERNO DO ESTADO DE SÃO PAULO</w:t>
    </w:r>
    <w:r/>
  </w:p>
  <w:p>
    <w:pPr>
      <w:pStyle w:val="Cabealho"/>
      <w:jc w:val="center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>SECRETARIA DE PLANEJAMENTO E GESTÃO</w:t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2"/>
        <w:b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</w:rPr>
      <w:t xml:space="preserve">                     </w:t>
    </w:r>
    <w:r>
      <w:rPr>
        <w:rFonts w:cs="Arial" w:ascii="Arial" w:hAnsi="Arial"/>
        <w:b/>
        <w:sz w:val="22"/>
        <w:szCs w:val="22"/>
      </w:rPr>
      <w:t>DEPARTAMENTO ESTADUAL DE TRÂNSITO DE SÃO PAULO</w:t>
    </w:r>
    <w:r/>
  </w:p>
  <w:p>
    <w:pPr>
      <w:pStyle w:val="Cabealho"/>
      <w:jc w:val="center"/>
    </w:pPr>
    <w:r>
      <w:rPr>
        <w:rFonts w:cs="Arial" w:ascii="Arial" w:hAnsi="Arial"/>
        <w:b/>
      </w:rPr>
      <w:t>SUPERINTENDÊNCIA REGIONAL CAMPINAS I</w:t>
    </w:r>
    <w:r/>
  </w:p>
  <w:p>
    <w:pPr>
      <w:pStyle w:val="Cabealho"/>
      <w:jc w:val="center"/>
      <w:rPr>
        <w:sz w:val="20"/>
        <w:b/>
        <w:sz w:val="20"/>
        <w:b/>
        <w:szCs w:val="20"/>
        <w:rFonts w:ascii="Arial" w:hAnsi="Arial" w:eastAsia="Times New Roman" w:cs="Arial"/>
        <w:color w:val="00000A"/>
        <w:lang w:val="pt-BR" w:eastAsia="pt-BR" w:bidi="ar-SA"/>
      </w:rPr>
    </w:pPr>
    <w:r>
      <w:rPr>
        <w:rFonts w:eastAsia="Times New Roman" w:cs="Arial" w:ascii="Arial" w:hAnsi="Arial"/>
        <w:b/>
        <w:sz w:val="20"/>
        <w:szCs w:val="20"/>
        <w:lang w:val="pt-BR"/>
      </w:rPr>
    </w:r>
    <w:r/>
  </w:p>
  <w:p>
    <w:pPr>
      <w:pStyle w:val="Cabealho"/>
      <w:rPr>
        <w:sz w:val="20"/>
        <w:sz w:val="20"/>
        <w:szCs w:val="20"/>
        <w:rFonts w:ascii="Calibri" w:hAnsi="Calibri" w:eastAsia="Times New Roman" w:cs="Times New Roman"/>
        <w:color w:val="00000A"/>
        <w:lang w:val="pt-BR" w:eastAsia="pt-BR" w:bidi="ar-SA"/>
      </w:rPr>
    </w:pPr>
    <w:r>
      <w:rPr>
        <w:rFonts w:eastAsia="Times New Roman"/>
        <w:sz w:val="20"/>
        <w:szCs w:val="20"/>
        <w:lang w:val="pt-BR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qFormat="1" w:uiPriority="35" w:name="caption"/>
    <w:lsdException w:qFormat="1" w:semiHidden="0" w:unhideWhenUsed="0" w:uiPriority="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semiHidden="0" w:unhideWhenUsed="0" w:uiPriority="39" w:name="TOC Heading"/>
  </w:latentStyles>
  <w:style w:type="paragraph" w:styleId="Normal" w:default="1">
    <w:name w:val="Normal"/>
    <w:qFormat/>
    <w:rsid w:val="00627a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link w:val="Ttulo1Char"/>
    <w:uiPriority w:val="9"/>
    <w:qFormat/>
    <w:rsid w:val="00627ac3"/>
    <w:pPr>
      <w:keepNext/>
      <w:keepLines/>
      <w:spacing w:lineRule="auto" w:line="240"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Título 2"/>
    <w:basedOn w:val="Normal"/>
    <w:next w:val="Normal"/>
    <w:link w:val="Ttulo2Char"/>
    <w:uiPriority w:val="9"/>
    <w:qFormat/>
    <w:rsid w:val="00627ac3"/>
    <w:pPr>
      <w:keepNext/>
      <w:keepLines/>
      <w:spacing w:lineRule="auto" w:line="240"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Título 3"/>
    <w:basedOn w:val="Normal"/>
    <w:next w:val="Normal"/>
    <w:link w:val="Ttulo3Char"/>
    <w:uiPriority w:val="9"/>
    <w:qFormat/>
    <w:rsid w:val="00627ac3"/>
    <w:pPr>
      <w:keepNext/>
      <w:keepLines/>
      <w:spacing w:lineRule="auto" w:line="240"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uiPriority w:val="9"/>
    <w:rsid w:val="00627ac3"/>
    <w:rPr>
      <w:rFonts w:ascii="Cambria" w:hAnsi="Cambria" w:eastAsia="Times New Roman" w:cs="Times New Roman"/>
      <w:b/>
      <w:bCs/>
      <w:color w:val="365F91"/>
      <w:sz w:val="28"/>
      <w:szCs w:val="28"/>
      <w:lang w:eastAsia="pt-BR"/>
    </w:rPr>
  </w:style>
  <w:style w:type="character" w:styleId="Ttulo2Char" w:customStyle="1">
    <w:name w:val="Título 2 Char"/>
    <w:link w:val="Ttulo2"/>
    <w:uiPriority w:val="9"/>
    <w:rsid w:val="00627ac3"/>
    <w:rPr>
      <w:rFonts w:ascii="Cambria" w:hAnsi="Cambria" w:eastAsia="Times New Roman" w:cs="Times New Roman"/>
      <w:b/>
      <w:bCs/>
      <w:color w:val="4F81BD"/>
      <w:sz w:val="26"/>
      <w:szCs w:val="26"/>
      <w:lang w:eastAsia="pt-BR"/>
    </w:rPr>
  </w:style>
  <w:style w:type="character" w:styleId="Ttulo3Char" w:customStyle="1">
    <w:name w:val="Título 3 Char"/>
    <w:link w:val="Ttulo3"/>
    <w:uiPriority w:val="9"/>
    <w:rsid w:val="00627ac3"/>
    <w:rPr>
      <w:rFonts w:ascii="Cambria" w:hAnsi="Cambria" w:eastAsia="Times New Roman" w:cs="Times New Roman"/>
      <w:b/>
      <w:bCs/>
      <w:color w:val="4F81BD"/>
      <w:sz w:val="20"/>
      <w:szCs w:val="20"/>
      <w:lang w:eastAsia="pt-BR"/>
    </w:rPr>
  </w:style>
  <w:style w:type="character" w:styleId="LinkdaInternet">
    <w:name w:val="Link da Internet"/>
    <w:uiPriority w:val="99"/>
    <w:unhideWhenUsed/>
    <w:rsid w:val="00627ac3"/>
    <w:rPr>
      <w:color w:val="0000FF"/>
      <w:u w:val="single"/>
      <w:lang w:val="zxx" w:eastAsia="zxx" w:bidi="zxx"/>
    </w:rPr>
  </w:style>
  <w:style w:type="character" w:styleId="TextodebaloChar" w:customStyle="1">
    <w:name w:val="Texto de balão Char"/>
    <w:link w:val="Textodebalo"/>
    <w:uiPriority w:val="99"/>
    <w:semiHidden/>
    <w:rsid w:val="00627ac3"/>
    <w:rPr>
      <w:rFonts w:ascii="Tahoma" w:hAnsi="Tahoma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rsid w:val="00627ac3"/>
    <w:rPr/>
  </w:style>
  <w:style w:type="character" w:styleId="Nfase">
    <w:name w:val="Ênfase"/>
    <w:uiPriority w:val="20"/>
    <w:qFormat/>
    <w:rsid w:val="00627ac3"/>
    <w:rPr>
      <w:i/>
      <w:iCs/>
    </w:rPr>
  </w:style>
  <w:style w:type="character" w:styleId="CabealhoChar" w:customStyle="1">
    <w:name w:val="Cabeçalho Char"/>
    <w:link w:val="Cabealho"/>
    <w:rsid w:val="00627ac3"/>
    <w:rPr>
      <w:rFonts w:ascii="Calibri" w:hAnsi="Calibri" w:eastAsia="Times New Roman" w:cs="Times New Roman"/>
      <w:lang w:eastAsia="pt-BR"/>
    </w:rPr>
  </w:style>
  <w:style w:type="character" w:styleId="CabealhoChar1" w:customStyle="1">
    <w:name w:val="Cabeçalho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RodapChar" w:customStyle="1">
    <w:name w:val="Rodapé Char"/>
    <w:link w:val="Rodap"/>
    <w:uiPriority w:val="99"/>
    <w:rsid w:val="00627ac3"/>
    <w:rPr>
      <w:rFonts w:ascii="Calibri" w:hAnsi="Calibri" w:eastAsia="Times New Roman" w:cs="Times New Roman"/>
      <w:lang w:eastAsia="pt-BR"/>
    </w:rPr>
  </w:style>
  <w:style w:type="character" w:styleId="RodapChar1" w:customStyle="1">
    <w:name w:val="Rodapé Char1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Footnotereference">
    <w:name w:val="footnote reference"/>
    <w:uiPriority w:val="99"/>
    <w:semiHidden/>
    <w:unhideWhenUsed/>
    <w:rsid w:val="00627ac3"/>
    <w:rPr>
      <w:vertAlign w:val="superscript"/>
    </w:rPr>
  </w:style>
  <w:style w:type="character" w:styleId="CorpodetextoChar" w:customStyle="1">
    <w:name w:val="Corpo de texto Char"/>
    <w:link w:val="Corpodetexto"/>
    <w:rsid w:val="00627ac3"/>
    <w:rPr>
      <w:rFonts w:ascii="Arial" w:hAnsi="Arial" w:eastAsia="Times New Roman" w:cs="Times New Roman"/>
      <w:b/>
      <w:sz w:val="20"/>
      <w:szCs w:val="20"/>
      <w:lang w:eastAsia="pt-BR"/>
    </w:rPr>
  </w:style>
  <w:style w:type="character" w:styleId="Corpodetexto2Char" w:customStyle="1">
    <w:name w:val="Corpo de texto 2 Char"/>
    <w:link w:val="Corpodetexto2"/>
    <w:uiPriority w:val="99"/>
    <w:semiHidden/>
    <w:rsid w:val="00627ac3"/>
    <w:rPr>
      <w:rFonts w:ascii="Calibri" w:hAnsi="Calibri" w:eastAsia="Times New Roman" w:cs="Times New Roman"/>
      <w:lang w:eastAsia="pt-BR"/>
    </w:rPr>
  </w:style>
  <w:style w:type="character" w:styleId="Txtblack" w:customStyle="1">
    <w:name w:val="txtblack"/>
    <w:basedOn w:val="DefaultParagraphFont"/>
    <w:rsid w:val="00627ac3"/>
    <w:rPr/>
  </w:style>
  <w:style w:type="character" w:styleId="Annotationreference">
    <w:name w:val="annotation reference"/>
    <w:uiPriority w:val="99"/>
    <w:semiHidden/>
    <w:unhideWhenUsed/>
    <w:rsid w:val="00627ac3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rsid w:val="00627ac3"/>
    <w:rPr>
      <w:rFonts w:ascii="Calibri" w:hAnsi="Calibri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link w:val="Assuntodocomentrio"/>
    <w:uiPriority w:val="99"/>
    <w:semiHidden/>
    <w:rsid w:val="00627ac3"/>
    <w:rPr>
      <w:rFonts w:ascii="Calibri" w:hAnsi="Calibri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uiPriority w:val="22"/>
    <w:qFormat/>
    <w:rsid w:val="00627ac3"/>
    <w:rPr>
      <w:b/>
      <w:bCs/>
    </w:rPr>
  </w:style>
  <w:style w:type="character" w:styleId="Recuodecorpodetexto2Char" w:customStyle="1">
    <w:name w:val="Recuo de corpo de texto 2 Char"/>
    <w:link w:val="Recuodecorpodetexto2"/>
    <w:uiPriority w:val="99"/>
    <w:semiHidden/>
    <w:rsid w:val="00be6c40"/>
    <w:rPr>
      <w:rFonts w:ascii="Calibri" w:hAnsi="Calibri" w:eastAsia="Times New Roman" w:cs="Times New Roman"/>
      <w:lang w:eastAsia="pt-BR"/>
    </w:rPr>
  </w:style>
  <w:style w:type="character" w:styleId="RecuodecorpodetextoChar" w:customStyle="1">
    <w:name w:val="Recuo de corpo de texto Char"/>
    <w:link w:val="Recuodecorpodetexto"/>
    <w:uiPriority w:val="99"/>
    <w:rsid w:val="004d5b07"/>
    <w:rPr>
      <w:rFonts w:ascii="Calibri" w:hAnsi="Calibri" w:eastAsia="Times New Roman" w:cs="Times New Roman"/>
      <w:lang w:eastAsia="pt-BR"/>
    </w:rPr>
  </w:style>
  <w:style w:type="character" w:styleId="TtuloChar" w:customStyle="1">
    <w:name w:val="Título Char"/>
    <w:link w:val="Ttulo"/>
    <w:rsid w:val="004d5b07"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Ppheadlineitem" w:customStyle="1">
    <w:name w:val="pp-headline-item"/>
    <w:basedOn w:val="DefaultParagraphFont"/>
    <w:rsid w:val="00cc7dba"/>
    <w:rPr/>
  </w:style>
  <w:style w:type="character" w:styleId="ListLabel1">
    <w:name w:val="ListLabel 1"/>
    <w:rPr>
      <w:rFonts w:eastAsia="Calibri" w:cs="Calibri"/>
      <w:color w:val="00000A"/>
    </w:rPr>
  </w:style>
  <w:style w:type="character" w:styleId="ListLabel2">
    <w:name w:val="ListLabel 2"/>
    <w:rPr>
      <w:color w:val="00000A"/>
    </w:rPr>
  </w:style>
  <w:style w:type="character" w:styleId="ListLabel3">
    <w:name w:val="ListLabel 3"/>
    <w:rPr>
      <w:color w:val="548DD4"/>
    </w:rPr>
  </w:style>
  <w:style w:type="character" w:styleId="ListLabel4">
    <w:name w:val="ListLabel 4"/>
    <w:rPr>
      <w:rFonts w:cs="Courier New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link w:val="CorpodetextoChar"/>
    <w:rsid w:val="00627ac3"/>
    <w:pPr>
      <w:spacing w:lineRule="auto" w:line="240" w:before="0" w:after="0"/>
      <w:jc w:val="both"/>
    </w:pPr>
    <w:rPr>
      <w:rFonts w:ascii="Arial" w:hAnsi="Arial"/>
      <w:b/>
      <w:sz w:val="20"/>
      <w:szCs w:val="20"/>
      <w:lang w:val="x-none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27ac3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27ac3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Ttulodosumrio">
    <w:name w:val="Título do sumário"/>
    <w:basedOn w:val="Ttulo1"/>
    <w:next w:val="Normal"/>
    <w:uiPriority w:val="39"/>
    <w:qFormat/>
    <w:rsid w:val="00627ac3"/>
    <w:pPr>
      <w:spacing w:lineRule="auto" w:line="276"/>
    </w:pPr>
    <w:rPr/>
  </w:style>
  <w:style w:type="paragraph" w:styleId="Sumrio1">
    <w:name w:val="Sumário 1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</w:pPr>
    <w:rPr/>
  </w:style>
  <w:style w:type="paragraph" w:styleId="Sumrio2">
    <w:name w:val="Sumário 2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220" w:hanging="0"/>
    </w:pPr>
    <w:rPr/>
  </w:style>
  <w:style w:type="paragraph" w:styleId="Sumrio3">
    <w:name w:val="Sumário 3"/>
    <w:basedOn w:val="Normal"/>
    <w:next w:val="Normal"/>
    <w:autoRedefine/>
    <w:uiPriority w:val="39"/>
    <w:unhideWhenUsed/>
    <w:qFormat/>
    <w:rsid w:val="00627ac3"/>
    <w:pPr>
      <w:spacing w:lineRule="auto" w:line="240" w:before="0" w:after="100"/>
      <w:ind w:left="440" w:hanging="0"/>
    </w:pPr>
    <w:rPr/>
  </w:style>
  <w:style w:type="paragraph" w:styleId="NormalWeb">
    <w:name w:val="Normal (Web)"/>
    <w:basedOn w:val="Normal"/>
    <w:uiPriority w:val="99"/>
    <w:unhideWhenUsed/>
    <w:rsid w:val="00627ac3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abealho">
    <w:name w:val="Cabeçalho"/>
    <w:basedOn w:val="Normal"/>
    <w:link w:val="CabealhoChar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odap">
    <w:name w:val="Rodapé"/>
    <w:basedOn w:val="Normal"/>
    <w:link w:val="RodapChar"/>
    <w:uiPriority w:val="99"/>
    <w:unhideWhenUsed/>
    <w:rsid w:val="00627ac3"/>
    <w:pPr>
      <w:tabs>
        <w:tab w:val="center" w:pos="4252" w:leader="none"/>
        <w:tab w:val="right" w:pos="8504" w:leader="none"/>
      </w:tabs>
      <w:spacing w:lineRule="auto" w:line="240" w:before="0" w:after="0"/>
    </w:pPr>
    <w:rPr>
      <w:sz w:val="20"/>
      <w:szCs w:val="20"/>
      <w:lang w:val="x-none"/>
    </w:rPr>
  </w:style>
  <w:style w:type="paragraph" w:styleId="Revision">
    <w:name w:val="Revision"/>
    <w:uiPriority w:val="99"/>
    <w:semiHidden/>
    <w:rsid w:val="00627ac3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627ac3"/>
    <w:pPr>
      <w:spacing w:lineRule="auto" w:line="240" w:before="0" w:after="0"/>
    </w:pPr>
    <w:rPr>
      <w:sz w:val="20"/>
      <w:szCs w:val="20"/>
      <w:lang w:val="x-none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627ac3"/>
    <w:pPr>
      <w:spacing w:lineRule="auto" w:line="480" w:before="0" w:after="120"/>
    </w:pPr>
    <w:rPr>
      <w:sz w:val="20"/>
      <w:szCs w:val="20"/>
      <w:lang w:val="x-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627ac3"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627ac3"/>
    <w:pPr/>
    <w:rPr>
      <w:b/>
      <w:bCs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be6c40"/>
    <w:pPr>
      <w:spacing w:lineRule="auto" w:line="480" w:before="0" w:after="120"/>
      <w:ind w:left="283" w:hanging="0"/>
    </w:pPr>
    <w:rPr>
      <w:sz w:val="20"/>
      <w:szCs w:val="20"/>
      <w:lang w:val="x-none"/>
    </w:rPr>
  </w:style>
  <w:style w:type="paragraph" w:styleId="Corpodetextorecuado">
    <w:name w:val="Corpo de texto recuado"/>
    <w:basedOn w:val="Normal"/>
    <w:link w:val="RecuodecorpodetextoChar"/>
    <w:uiPriority w:val="99"/>
    <w:unhideWhenUsed/>
    <w:rsid w:val="004d5b07"/>
    <w:pPr>
      <w:spacing w:before="0" w:after="120"/>
      <w:ind w:left="283" w:hanging="0"/>
    </w:pPr>
    <w:rPr>
      <w:sz w:val="20"/>
      <w:szCs w:val="20"/>
      <w:lang w:val="x-none"/>
    </w:rPr>
  </w:style>
  <w:style w:type="paragraph" w:styleId="Ttulododocumento">
    <w:name w:val="Título do documento"/>
    <w:basedOn w:val="Normal"/>
    <w:link w:val="TtuloChar"/>
    <w:qFormat/>
    <w:rsid w:val="004d5b07"/>
    <w:pPr>
      <w:spacing w:lineRule="auto" w:line="240" w:before="0" w:after="0"/>
      <w:jc w:val="center"/>
    </w:pPr>
    <w:rPr>
      <w:rFonts w:ascii="Times New Roman" w:hAnsi="Times New Roman"/>
      <w:b/>
      <w:sz w:val="32"/>
      <w:szCs w:val="20"/>
      <w:lang w:val="x-none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27ac3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Borders>
        <w:top w:space="0" w:sz="8" w:color="4F81BD" w:val="single"/>
        <w:bottom w:space="0" w:sz="8" w:color="4F81BD" w:val="single"/>
      </w:tblBorders>
    </w:tblPr>
    <w:tblStylePr w:type="fir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8" w:color="4F81BD" w:val="single"/>
          <w:left w:val="nil"/>
          <w:bottom w:space="0" w:sz="8" w:color="4F81BD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fill="D3DFEE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tran.sp.gov.br/" TargetMode="External"/><Relationship Id="rId3" Type="http://schemas.openxmlformats.org/officeDocument/2006/relationships/hyperlink" Target="http://www.detran.sp.gov.br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Application>LibreOffice/4.3.4.1$Windows_x86 LibreOffice_project/bc356b2f991740509f321d70e4512a6a54c5f243</Application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2015-08-07T14:33:00Z</dcterms:created>
  <dc:creator>lcmscaff</dc:creator>
  <dc:language>pt-BR</dc:language>
  <cp:lastPrinted>2015-07-23T18:35:00Z</cp:lastPrinted>
  <dcterms:modified xsi:type="dcterms:W3CDTF">2015-09-30T15:05:53Z</dcterms:modified>
  <cp:revision>10</cp:revision>
  <dc:title>Edital de Credenciamento de examinadores de trânsito, conforme arts</dc:title>
</cp:coreProperties>
</file>